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0"/>
        </w:numPr>
        <w:spacing w:before="120" w:after="60"/>
        <w:ind w:left="4678" w:hanging="0"/>
        <w:jc w:val="right"/>
        <w:rPr>
          <w:sz w:val="24"/>
          <w:szCs w:val="24"/>
        </w:rPr>
      </w:pPr>
      <w:bookmarkStart w:id="0" w:name="_Toc130543118"/>
      <w:bookmarkStart w:id="1" w:name="_Toc127263929"/>
      <w:bookmarkStart w:id="2" w:name="_Hlk48224758"/>
      <w:bookmarkEnd w:id="2"/>
      <w:r>
        <w:rPr>
          <w:sz w:val="24"/>
          <w:szCs w:val="24"/>
        </w:rPr>
        <w:t>Приложение №1</w:t>
      </w:r>
      <w:bookmarkEnd w:id="0"/>
      <w:bookmarkEnd w:id="1"/>
      <w:r>
        <w:rPr>
          <w:sz w:val="24"/>
          <w:szCs w:val="24"/>
        </w:rPr>
        <w:t xml:space="preserve"> </w:t>
      </w:r>
    </w:p>
    <w:p>
      <w:pPr>
        <w:pStyle w:val="BodyTextIndent2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Toc54646414"/>
      <w:bookmarkStart w:id="4" w:name="_Toc54451385"/>
      <w:bookmarkStart w:id="5" w:name="_Toc127263930"/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 документации по ценообразованию</w:t>
      </w:r>
      <w:bookmarkEnd w:id="3"/>
      <w:bookmarkEnd w:id="4"/>
      <w:bookmarkEnd w:id="5"/>
    </w:p>
    <w:p>
      <w:pPr>
        <w:pStyle w:val="Normal"/>
        <w:rPr>
          <w:rFonts w:ascii="Times New Roman" w:hAnsi="Times New Roman" w:cs="Times New Roman"/>
          <w:lang w:val="x-none" w:eastAsia="x-none"/>
        </w:rPr>
      </w:pPr>
      <w:r>
        <w:rPr>
          <w:rFonts w:cs="Times New Roman" w:ascii="Times New Roman" w:hAnsi="Times New Roman"/>
          <w:lang w:val="x-none" w:eastAsia="x-none"/>
        </w:rPr>
      </w:r>
      <w:bookmarkStart w:id="6" w:name="_Hlk48224758_Копия_1"/>
      <w:bookmarkStart w:id="7" w:name="_Hlk48224758_Копия_1"/>
      <w:bookmarkEnd w:id="7"/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</w:t>
        <w:tab/>
        <w:t>Настоящие требования разработаны для единого подхода к оформлению и составлению сметной документации на выполнение строительно-монтажных работ при новом строительстве.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</w:t>
        <w:tab/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  <w:tab/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4"/>
          <w:szCs w:val="24"/>
          <w:u w:val="single"/>
        </w:rPr>
        <w:t>должна быть не ниже 2024.</w:t>
      </w:r>
      <w:r>
        <w:rPr>
          <w:rFonts w:cs="Times New Roman" w:ascii="Times New Roman" w:hAnsi="Times New Roman"/>
          <w:sz w:val="24"/>
          <w:szCs w:val="24"/>
          <w:u w:val="single"/>
        </w:rPr>
        <w:t>3</w:t>
      </w:r>
      <w:r>
        <w:rPr>
          <w:rFonts w:cs="Times New Roman" w:ascii="Times New Roman" w:hAnsi="Times New Roman"/>
          <w:sz w:val="24"/>
          <w:szCs w:val="24"/>
          <w:u w:val="single"/>
        </w:rPr>
        <w:t>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  <w:tab/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2020 определения сметной стоимости строительства) с учетом изменений и дополнений, а также, особые условия, изложенные в таблице 1:</w:t>
      </w:r>
    </w:p>
    <w:p>
      <w:pPr>
        <w:pStyle w:val="Normal"/>
        <w:tabs>
          <w:tab w:val="clear" w:pos="708"/>
          <w:tab w:val="left" w:pos="993" w:leader="none"/>
        </w:tabs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</w:r>
    </w:p>
    <w:p>
      <w:pPr>
        <w:pStyle w:val="ListParagraph"/>
        <w:tabs>
          <w:tab w:val="clear" w:pos="708"/>
          <w:tab w:val="left" w:pos="993" w:leader="none"/>
        </w:tabs>
        <w:spacing w:before="0" w:after="0"/>
        <w:ind w:left="0" w:firstLine="567"/>
        <w:contextualSpacing w:val="false"/>
        <w:jc w:val="right"/>
        <w:rPr>
          <w:i/>
          <w:i/>
          <w:iCs/>
        </w:rPr>
      </w:pPr>
      <w:r>
        <w:rPr>
          <w:i/>
          <w:iCs/>
        </w:rPr>
        <w:t>Таблица 1</w:t>
      </w:r>
    </w:p>
    <w:tbl>
      <w:tblPr>
        <w:tblW w:w="4500" w:type="pct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noVBand="1" w:val="04a0" w:noHBand="0" w:lastColumn="0" w:firstColumn="1" w:lastRow="0" w:firstRow="1"/>
      </w:tblPr>
      <w:tblGrid>
        <w:gridCol w:w="769"/>
        <w:gridCol w:w="8542"/>
      </w:tblGrid>
      <w:tr>
        <w:trPr/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spacing w:before="60" w:after="60"/>
              <w:rPr>
                <w:b w:val="false"/>
                <w:iCs/>
                <w:sz w:val="20"/>
                <w:szCs w:val="20"/>
                <w:lang w:eastAsia="en-US"/>
              </w:rPr>
            </w:pPr>
            <w:r>
              <w:rPr>
                <w:b w:val="false"/>
                <w:iCs/>
                <w:sz w:val="20"/>
                <w:szCs w:val="20"/>
                <w:lang w:eastAsia="en-US"/>
              </w:rPr>
              <w:t xml:space="preserve">№ </w:t>
            </w:r>
            <w:r>
              <w:rPr>
                <w:b w:val="false"/>
                <w:iCs/>
                <w:sz w:val="20"/>
                <w:szCs w:val="20"/>
                <w:lang w:eastAsia="en-US"/>
              </w:rPr>
              <w:t>пп</w:t>
            </w:r>
          </w:p>
        </w:tc>
        <w:tc>
          <w:tcPr>
            <w:tcW w:w="8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0"/>
              <w:widowControl w:val="false"/>
              <w:spacing w:before="60" w:after="60"/>
              <w:ind w:firstLine="567"/>
              <w:rPr>
                <w:b w:val="false"/>
                <w:iCs/>
                <w:sz w:val="20"/>
                <w:szCs w:val="20"/>
                <w:lang w:eastAsia="en-US"/>
              </w:rPr>
            </w:pPr>
            <w:r>
              <w:rPr>
                <w:b w:val="false"/>
                <w:iCs/>
                <w:sz w:val="20"/>
                <w:szCs w:val="20"/>
                <w:lang w:eastAsia="en-US"/>
              </w:rPr>
              <w:t>Условия производства работ</w:t>
            </w:r>
          </w:p>
        </w:tc>
      </w:tr>
      <w:tr>
        <w:trPr>
          <w:trHeight w:val="397" w:hRule="atLeast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0"/>
              <w:widowControl w:val="false"/>
              <w:spacing w:before="60" w:after="60"/>
              <w:ind w:firstLine="567"/>
              <w:rPr>
                <w:b w:val="false"/>
                <w:iCs/>
                <w:sz w:val="20"/>
                <w:szCs w:val="20"/>
                <w:lang w:eastAsia="en-US"/>
              </w:rPr>
            </w:pPr>
            <w:r>
              <w:rPr>
                <w:b w:val="false"/>
                <w:iCs/>
                <w:sz w:val="20"/>
                <w:szCs w:val="20"/>
                <w:lang w:eastAsia="en-US"/>
              </w:rPr>
            </w:r>
          </w:p>
        </w:tc>
        <w:tc>
          <w:tcPr>
            <w:tcW w:w="8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0"/>
              <w:widowControl w:val="false"/>
              <w:spacing w:before="60" w:after="60"/>
              <w:ind w:right="137" w:firstLine="567"/>
              <w:rPr>
                <w:b w:val="false"/>
                <w:iCs/>
                <w:sz w:val="20"/>
                <w:szCs w:val="20"/>
              </w:rPr>
            </w:pPr>
            <w:r>
              <w:rPr>
                <w:b w:val="false"/>
                <w:iCs/>
                <w:sz w:val="20"/>
                <w:szCs w:val="20"/>
              </w:rPr>
              <w:t xml:space="preserve">Особые условия производства работ к конкретной работе, указываемые в примечании к </w:t>
            </w:r>
            <w:r>
              <w:rPr>
                <w:b w:val="false"/>
                <w:iCs/>
                <w:sz w:val="20"/>
                <w:szCs w:val="20"/>
                <w:u w:val="single"/>
              </w:rPr>
              <w:t>позиции в ведомости объемов работ</w:t>
            </w:r>
            <w:r>
              <w:rPr>
                <w:b w:val="false"/>
                <w:iCs/>
                <w:sz w:val="20"/>
                <w:szCs w:val="20"/>
              </w:rPr>
              <w:t>:</w:t>
            </w:r>
          </w:p>
        </w:tc>
      </w:tr>
      <w:tr>
        <w:trPr>
          <w:trHeight w:val="397" w:hRule="atLeast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0"/>
              <w:widowControl w:val="false"/>
              <w:spacing w:before="60" w:after="60"/>
              <w:rPr>
                <w:b w:val="false"/>
                <w:iCs/>
                <w:sz w:val="20"/>
                <w:szCs w:val="20"/>
                <w:lang w:eastAsia="en-US"/>
              </w:rPr>
            </w:pPr>
            <w:r>
              <w:rPr>
                <w:b w:val="false"/>
                <w:i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0"/>
              <w:widowControl w:val="false"/>
              <w:spacing w:before="60" w:after="60"/>
              <w:ind w:right="137" w:hanging="0"/>
              <w:jc w:val="left"/>
              <w:rPr>
                <w:b w:val="false"/>
                <w:iCs/>
                <w:sz w:val="20"/>
                <w:szCs w:val="20"/>
              </w:rPr>
            </w:pPr>
            <w:r>
              <w:rPr>
                <w:b w:val="false"/>
                <w:iCs/>
                <w:sz w:val="20"/>
                <w:szCs w:val="20"/>
              </w:rPr>
              <w:t>Производство работ осуществляется в охранной зоне действующей воздушной линии электропередачи,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</w:t>
            </w:r>
          </w:p>
        </w:tc>
      </w:tr>
    </w:tbl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134" w:leader="none"/>
        </w:tabs>
        <w:suppressAutoHyphens w:val="true"/>
        <w:ind w:left="0" w:hanging="0"/>
        <w:jc w:val="both"/>
        <w:rPr>
          <w:sz w:val="22"/>
          <w:szCs w:val="22"/>
        </w:rPr>
      </w:pPr>
      <w:r>
        <w:rPr/>
        <w:t xml:space="preserve">           </w:t>
      </w:r>
      <w:r>
        <w:rPr/>
        <w:t xml:space="preserve">При составлении сметной документации необходимо использовать сметно-нормативную базу «ФЕР 2020 изм.1-9» Перевод в текущий уровень цен производить согласно письма Минстроя России </w:t>
      </w:r>
      <w:r>
        <w:rPr>
          <w:color w:val="auto"/>
        </w:rPr>
        <w:t xml:space="preserve">61615-ИФ/09 от 21.10.2024г (Прочие объекты РС/Я/ для 3 зоны ОП=80,62, МАТ=17,24, ЭМ=21,21). </w:t>
      </w:r>
      <w:r>
        <w:rPr>
          <w:rFonts w:cs="Times New Roman"/>
          <w:color w:val="auto"/>
        </w:rPr>
        <w:t>Размер индекса-дефлятора на 2025 год 7,3%, на 2026 год 5,3%, на 2027 год 4,4%,  принимается по среднегодовому значению сценария «базовый» раздела «Индекс потребительских цен» без разбивки по кварталам.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5.1.</w:t>
        <w:tab/>
        <w:t xml:space="preserve">Базисно-индексный метод - используются сметные нормы, сметные цены строительных ресурсов в базисном уровне цен с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  <w:tab/>
        <w:t>При отсутствии информации о сметных нормативах на отдельные виды работ (услуг) в ФГИС ЦС и ФРСН допускается их определение по наиболее экономичному варианту (минимальному значению) по результатам конъюнктурного анализа, стоимости материальных ресурсов, оборудования и прочих затрат (услуг) включаются в сметную документацию.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</w:t>
        <w:tab/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</w:t>
        <w:tab/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</w:t>
        <w:tab/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</w:t>
        <w:tab/>
        <w:t>Транспортные затраты определяются следующими методами: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по результатам конъюнктурного анализа с учетом данных о стоимости услуг, полученных не менее чем от 2-х (двух) поставщиков (производителей) таких услуг, либо на основании данных по 1 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11.</w:t>
        <w:tab/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2% - для материальных ресурсов (кроме металлоконструкций);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0,75% - для металлоконструкций;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1,2% - для оборудования.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12.</w:t>
        <w:tab/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13.</w:t>
        <w:tab/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14.</w:t>
        <w:tab/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15.</w:t>
        <w:tab/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16.</w:t>
        <w:tab/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17.</w:t>
        <w:tab/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18.</w:t>
        <w:tab/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19.</w:t>
        <w:tab/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 xml:space="preserve">суточные – 945 руб./сутки; 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проживание – 500 руб./сутки; 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20.</w:t>
        <w:tab/>
        <w:t>В локальных сметных расчетах построчные и итоговые суммы округлять: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при ресурсно-индексном и ресурсным методах, а также в сметных расчетах на отдельные виды затрат - в рублях до целых единиц;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21.</w:t>
        <w:tab/>
        <w:t>Сметная документация должна быть представлена в двух вариантах: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на бумажном носителе (количество указано в конкурсной документации);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на электронном носителе (в форматах «xml», ПК «Гранд-Смета», «Excel», «pdf»), полностью соответствующему бумажному варианту;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сметная документация в формате «Excel»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</w:r>
      <w:r>
        <w:br w:type="page"/>
      </w:r>
    </w:p>
    <w:p>
      <w:pPr>
        <w:pStyle w:val="Normal"/>
        <w:ind w:left="6373" w:hanging="0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ind w:left="6373" w:hanging="0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>Приложение №</w:t>
      </w:r>
      <w:r>
        <w:rPr>
          <w:rFonts w:cs="Times New Roman" w:ascii="Times New Roman" w:hAnsi="Times New Roman"/>
          <w:bCs/>
          <w:iCs/>
          <w:sz w:val="24"/>
          <w:szCs w:val="24"/>
          <w:lang w:eastAsia="zh-CN"/>
        </w:rPr>
        <w:t> </w:t>
      </w: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>1</w:t>
      </w:r>
    </w:p>
    <w:p>
      <w:pPr>
        <w:pStyle w:val="Normal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 xml:space="preserve">к Требованиям к оформлению и </w:t>
      </w:r>
    </w:p>
    <w:p>
      <w:pPr>
        <w:pStyle w:val="Normal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>составлению сметной документации</w:t>
      </w:r>
    </w:p>
    <w:p>
      <w:pPr>
        <w:pStyle w:val="Normal"/>
        <w:tabs>
          <w:tab w:val="clear" w:pos="708"/>
          <w:tab w:val="left" w:pos="1260" w:leader="none"/>
        </w:tabs>
        <w:spacing w:lineRule="auto" w:line="27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 сводного сметного расчета</w:t>
      </w:r>
    </w:p>
    <w:p>
      <w:pPr>
        <w:pStyle w:val="Normal"/>
        <w:tabs>
          <w:tab w:val="clear" w:pos="708"/>
          <w:tab w:val="left" w:pos="1260" w:leader="none"/>
        </w:tabs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к договорам на строительство, реконструкцию, техническое перевооружение, дополнительным соглашениям к указанным договорам.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 При наличии двух и более сметных расчетов составлять ССР в текущем уровне цен по форме Приложения 1.1. к настоящему требованию.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 В случае заключений дополнительных соглашений к договору (далее - д/с), ССР необходимо выполнять в накопительной форме с учетом локальных смет (далее - 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1.2. к настоящему требованию.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 ЛС являются неотъемлемой частью -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 В ССР построчные и итоговые суммы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округлять до целых рублей.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rFonts w:ascii="Times New Roman" w:hAnsi="Times New Roman" w:cs="Times New Roman"/>
          <w:b w:val="false"/>
          <w:iCs/>
          <w:sz w:val="24"/>
          <w:szCs w:val="24"/>
        </w:rPr>
      </w:pPr>
      <w:r>
        <w:rPr>
          <w:rFonts w:cs="Times New Roman" w:ascii="Times New Roman" w:hAnsi="Times New Roman"/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rFonts w:ascii="Times New Roman" w:hAnsi="Times New Roman" w:cs="Times New Roman"/>
          <w:b w:val="false"/>
          <w:iCs/>
          <w:sz w:val="24"/>
          <w:szCs w:val="24"/>
        </w:rPr>
      </w:pPr>
      <w:r>
        <w:rPr>
          <w:rFonts w:cs="Times New Roman" w:ascii="Times New Roman" w:hAnsi="Times New Roman"/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rFonts w:ascii="Times New Roman" w:hAnsi="Times New Roman" w:cs="Times New Roman"/>
          <w:b w:val="false"/>
          <w:iCs/>
          <w:sz w:val="24"/>
          <w:szCs w:val="24"/>
        </w:rPr>
      </w:pPr>
      <w:r>
        <w:rPr>
          <w:rFonts w:cs="Times New Roman" w:ascii="Times New Roman" w:hAnsi="Times New Roman"/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  <w:r>
        <w:br w:type="page"/>
      </w:r>
    </w:p>
    <w:p>
      <w:pPr>
        <w:pStyle w:val="ConsPlusNormal1"/>
        <w:ind w:left="57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ОБРАЗЕЦ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Приложение № 1.1</w:t>
      </w:r>
    </w:p>
    <w:p>
      <w:pPr>
        <w:pStyle w:val="ConsPlusNormal1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Требованиям к оформлению и составлению сметной документации по ценообразованию </w:t>
      </w:r>
    </w:p>
    <w:p>
      <w:pPr>
        <w:pStyle w:val="ConsPlusNormal1"/>
        <w:ind w:left="5811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8" w:name="P2945"/>
      <w:bookmarkStart w:id="9" w:name="P2746"/>
      <w:bookmarkStart w:id="10" w:name="P2736"/>
      <w:bookmarkStart w:id="11" w:name="P2616"/>
      <w:bookmarkStart w:id="12" w:name="P2566"/>
      <w:bookmarkStart w:id="13" w:name="P2546"/>
      <w:bookmarkStart w:id="14" w:name="P2531"/>
      <w:bookmarkStart w:id="15" w:name="P2530"/>
      <w:bookmarkStart w:id="16" w:name="P2529"/>
      <w:bookmarkStart w:id="17" w:name="P2528"/>
      <w:bookmarkStart w:id="18" w:name="P2527"/>
      <w:bookmarkStart w:id="19" w:name="P2526"/>
      <w:bookmarkStart w:id="20" w:name="P2525"/>
      <w:bookmarkStart w:id="21" w:name="P2524"/>
      <w:bookmarkStart w:id="22" w:name="P2523"/>
      <w:bookmarkStart w:id="23" w:name="P2522"/>
      <w:bookmarkStart w:id="24" w:name="P2506"/>
      <w:bookmarkStart w:id="25" w:name="P3258"/>
      <w:bookmarkStart w:id="26" w:name="P2945"/>
      <w:bookmarkStart w:id="27" w:name="P2746"/>
      <w:bookmarkStart w:id="28" w:name="P2736"/>
      <w:bookmarkStart w:id="29" w:name="P2616"/>
      <w:bookmarkStart w:id="30" w:name="P2566"/>
      <w:bookmarkStart w:id="31" w:name="P2546"/>
      <w:bookmarkStart w:id="32" w:name="P2531"/>
      <w:bookmarkStart w:id="33" w:name="P2530"/>
      <w:bookmarkStart w:id="34" w:name="P2529"/>
      <w:bookmarkStart w:id="35" w:name="P2528"/>
      <w:bookmarkStart w:id="36" w:name="P2527"/>
      <w:bookmarkStart w:id="37" w:name="P2526"/>
      <w:bookmarkStart w:id="38" w:name="P2525"/>
      <w:bookmarkStart w:id="39" w:name="P2524"/>
      <w:bookmarkStart w:id="40" w:name="P2523"/>
      <w:bookmarkStart w:id="41" w:name="P2522"/>
      <w:bookmarkStart w:id="42" w:name="P2506"/>
      <w:bookmarkStart w:id="43" w:name="P3258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634"/>
        <w:gridCol w:w="993"/>
        <w:gridCol w:w="283"/>
        <w:gridCol w:w="1492"/>
        <w:gridCol w:w="62"/>
        <w:gridCol w:w="80"/>
        <w:gridCol w:w="1700"/>
        <w:gridCol w:w="68"/>
        <w:gridCol w:w="1066"/>
        <w:gridCol w:w="1418"/>
        <w:gridCol w:w="83"/>
        <w:gridCol w:w="1051"/>
        <w:gridCol w:w="1134"/>
        <w:gridCol w:w="850"/>
      </w:tblGrid>
      <w:tr>
        <w:trPr>
          <w:trHeight w:val="1158" w:hRule="atLeast"/>
        </w:trPr>
        <w:tc>
          <w:tcPr>
            <w:tcW w:w="3464" w:type="dxa"/>
            <w:gridSpan w:val="5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СОГЛАСОВАНО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:                                           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______________(Подрядчик )       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0" w:leader="none"/>
              </w:tabs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1"/>
              <w:widowControl w:val="false"/>
              <w:ind w:left="14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Заказчик:__________________</w:t>
            </w:r>
          </w:p>
        </w:tc>
        <w:tc>
          <w:tcPr>
            <w:tcW w:w="7450" w:type="dxa"/>
            <w:gridSpan w:val="9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_____________(Заказчик )  </w:t>
            </w:r>
          </w:p>
          <w:p>
            <w:pPr>
              <w:pStyle w:val="ConsPlusNormal1"/>
              <w:widowControl w:val="false"/>
              <w:ind w:left="2551"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______________(ФИО)</w:t>
            </w:r>
          </w:p>
        </w:tc>
      </w:tr>
      <w:tr>
        <w:trPr/>
        <w:tc>
          <w:tcPr>
            <w:tcW w:w="3464" w:type="dxa"/>
            <w:gridSpan w:val="5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7450" w:type="dxa"/>
            <w:gridSpan w:val="9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14" w:type="dxa"/>
            <w:gridSpan w:val="14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Утвержден: __ ______________202__ г.</w:t>
            </w:r>
          </w:p>
        </w:tc>
      </w:tr>
      <w:tr>
        <w:trPr/>
        <w:tc>
          <w:tcPr>
            <w:tcW w:w="5244" w:type="dxa"/>
            <w:gridSpan w:val="7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35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85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064" w:type="dxa"/>
            <w:gridSpan w:val="1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064" w:type="dxa"/>
            <w:gridSpan w:val="1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(ссылка на документ об утверждении)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63" w:hRule="atLeast"/>
        </w:trPr>
        <w:tc>
          <w:tcPr>
            <w:tcW w:w="10064" w:type="dxa"/>
            <w:gridSpan w:val="1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ССРСС-________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3" w:hRule="atLeast"/>
        </w:trPr>
        <w:tc>
          <w:tcPr>
            <w:tcW w:w="10064" w:type="dxa"/>
            <w:gridSpan w:val="1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064" w:type="dxa"/>
            <w:gridSpan w:val="1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стройки)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064" w:type="dxa"/>
            <w:gridSpan w:val="1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Nп/п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Обоснование</w:t>
            </w:r>
          </w:p>
        </w:tc>
        <w:tc>
          <w:tcPr>
            <w:tcW w:w="17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6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Сметная стоимость, руб.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49" w:hRule="atLeast"/>
        </w:trPr>
        <w:tc>
          <w:tcPr>
            <w:tcW w:w="6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7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Строительных ремонтно-строительных, ремонтно-реставрационных) работ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монтажных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прочих затрат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95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71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9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62" w:hRule="atLeast"/>
        </w:trPr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Руководитель проектной организации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1" w:hRule="atLeast"/>
        </w:trPr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16" w:hRule="atLeast"/>
        </w:trPr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Главный инженер проекта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71" w:hRule="atLeast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Начальник</w:t>
            </w:r>
          </w:p>
        </w:tc>
        <w:tc>
          <w:tcPr>
            <w:tcW w:w="1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отдела</w:t>
            </w:r>
          </w:p>
        </w:tc>
        <w:tc>
          <w:tcPr>
            <w:tcW w:w="4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Заказчик</w:t>
            </w:r>
          </w:p>
        </w:tc>
        <w:tc>
          <w:tcPr>
            <w:tcW w:w="81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ind w:left="397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br w:type="page"/>
      </w:r>
    </w:p>
    <w:p>
      <w:pPr>
        <w:pStyle w:val="Normal"/>
        <w:ind w:left="397" w:hanging="0"/>
        <w:rPr>
          <w:sz w:val="24"/>
          <w:szCs w:val="24"/>
        </w:rPr>
      </w:pPr>
      <w:r>
        <w:rPr>
          <w:b/>
          <w:sz w:val="24"/>
          <w:szCs w:val="24"/>
        </w:rPr>
        <w:t>ОБРАЗЕЦ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ind w:left="8646" w:hanging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Приложение №1.2 </w:t>
      </w:r>
    </w:p>
    <w:p>
      <w:pPr>
        <w:pStyle w:val="ConsPlusNormal1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Требованиям к оформлению и составлению сметной документации по ценообразованию </w:t>
      </w:r>
    </w:p>
    <w:p>
      <w:pPr>
        <w:pStyle w:val="ConsPlusNormal1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8"/>
          <w:tab w:val="left" w:pos="6804" w:leader="none"/>
        </w:tabs>
        <w:ind w:left="5811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</w:t>
      </w:r>
      <w:r>
        <w:rPr>
          <w:rFonts w:cs="Times New Roman" w:ascii="Times New Roman" w:hAnsi="Times New Roman"/>
          <w:sz w:val="24"/>
          <w:szCs w:val="24"/>
        </w:rPr>
        <w:t>Приложение №___</w:t>
      </w:r>
    </w:p>
    <w:p>
      <w:pPr>
        <w:pStyle w:val="ConsPlusNormal1"/>
        <w:tabs>
          <w:tab w:val="clear" w:pos="708"/>
          <w:tab w:val="left" w:pos="6946" w:leader="none"/>
        </w:tabs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</w:t>
      </w:r>
      <w:r>
        <w:rPr>
          <w:rFonts w:cs="Times New Roman" w:ascii="Times New Roman" w:hAnsi="Times New Roman"/>
          <w:sz w:val="24"/>
          <w:szCs w:val="24"/>
        </w:rPr>
        <w:t>к дополнительному соглашению от ___ № ___</w:t>
      </w:r>
    </w:p>
    <w:p>
      <w:pPr>
        <w:pStyle w:val="ConsPlusNormal1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договору от________№_____ </w:t>
      </w:r>
    </w:p>
    <w:tbl>
      <w:tblPr>
        <w:tblW w:w="1020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1222"/>
        <w:gridCol w:w="8983"/>
      </w:tblGrid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8983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983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организации)</w:t>
            </w:r>
          </w:p>
        </w:tc>
      </w:tr>
      <w:tr>
        <w:trPr/>
        <w:tc>
          <w:tcPr>
            <w:tcW w:w="10205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 ______________ 20__ г.</w:t>
            </w:r>
          </w:p>
        </w:tc>
      </w:tr>
    </w:tbl>
    <w:p>
      <w:pPr>
        <w:pStyle w:val="ConsPlusNormal1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20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5215"/>
        <w:gridCol w:w="2664"/>
        <w:gridCol w:w="2327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27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10206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206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(ссылка на документ об утверждении)</w:t>
            </w:r>
          </w:p>
        </w:tc>
      </w:tr>
    </w:tbl>
    <w:p>
      <w:pPr>
        <w:pStyle w:val="ConsPlusNormal1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20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10206"/>
      </w:tblGrid>
      <w:tr>
        <w:trPr/>
        <w:tc>
          <w:tcPr>
            <w:tcW w:w="10206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ССРСС-________</w:t>
            </w:r>
          </w:p>
        </w:tc>
      </w:tr>
      <w:tr>
        <w:trPr/>
        <w:tc>
          <w:tcPr>
            <w:tcW w:w="10206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206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стройки)</w:t>
            </w:r>
          </w:p>
        </w:tc>
      </w:tr>
      <w:tr>
        <w:trPr/>
        <w:tc>
          <w:tcPr>
            <w:tcW w:w="10206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55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4"/>
        <w:gridCol w:w="993"/>
        <w:gridCol w:w="295"/>
        <w:gridCol w:w="1634"/>
        <w:gridCol w:w="55"/>
        <w:gridCol w:w="1701"/>
        <w:gridCol w:w="12"/>
        <w:gridCol w:w="1269"/>
        <w:gridCol w:w="1417"/>
        <w:gridCol w:w="1133"/>
        <w:gridCol w:w="920"/>
      </w:tblGrid>
      <w:tr>
        <w:trPr>
          <w:trHeight w:val="42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Nп/п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Обоснование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4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Сметная стоимость, руб.</w:t>
            </w:r>
          </w:p>
        </w:tc>
      </w:tr>
      <w:tr>
        <w:trPr>
          <w:trHeight w:val="1067" w:hRule="atLeast"/>
        </w:trPr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монтажных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оборудования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прочих затрат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всего</w:t>
            </w:r>
          </w:p>
        </w:tc>
      </w:tr>
      <w:tr>
        <w:trPr>
          <w:trHeight w:val="24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</w:t>
            </w:r>
          </w:p>
        </w:tc>
      </w:tr>
      <w:tr>
        <w:trPr/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Сметы основного договора </w:t>
            </w:r>
          </w:p>
        </w:tc>
      </w:tr>
      <w:tr>
        <w:trPr>
          <w:trHeight w:val="78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279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83" w:hRule="atLeast"/>
        </w:trPr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Включить дополнительным соглашением № 1</w:t>
            </w:r>
          </w:p>
        </w:tc>
      </w:tr>
      <w:tr>
        <w:trPr>
          <w:trHeight w:val="205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13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включено дополнительным соглашением 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21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Исключить дополнительным соглашением № 2</w:t>
            </w:r>
          </w:p>
        </w:tc>
      </w:tr>
      <w:tr>
        <w:trPr>
          <w:trHeight w:val="469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25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Итого по главе №: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61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Итого по главам №№: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97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Всего по ССР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97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203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Сумма основного договора, без НДС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623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8"/>
                <w:tab w:val="left" w:pos="2091" w:leader="none"/>
              </w:tabs>
              <w:ind w:left="425"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       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       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>проектной организации</w:t>
            </w:r>
          </w:p>
        </w:tc>
        <w:tc>
          <w:tcPr>
            <w:tcW w:w="6507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ind w:left="141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Главный инженер проекта</w:t>
            </w:r>
          </w:p>
        </w:tc>
        <w:tc>
          <w:tcPr>
            <w:tcW w:w="6507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отдела</w:t>
            </w:r>
          </w:p>
        </w:tc>
        <w:tc>
          <w:tcPr>
            <w:tcW w:w="4739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739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left="141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>Заказчик</w:t>
            </w:r>
          </w:p>
        </w:tc>
        <w:tc>
          <w:tcPr>
            <w:tcW w:w="8141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141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[должность, подпись (инициалы, фамилия)]</w:t>
            </w:r>
          </w:p>
        </w:tc>
      </w:tr>
    </w:tbl>
    <w:p>
      <w:pPr>
        <w:pStyle w:val="ConsPlusNormal1"/>
        <w:widowControl/>
        <w:ind w:hanging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i/>
          <w:i/>
          <w:iCs/>
          <w:sz w:val="24"/>
          <w:szCs w:val="24"/>
          <w:shd w:fill="FFFF99" w:val="clear"/>
        </w:rPr>
      </w:pPr>
      <w:r>
        <w:rPr>
          <w:bCs/>
          <w:i/>
          <w:iCs/>
          <w:sz w:val="24"/>
          <w:szCs w:val="24"/>
          <w:shd w:fill="FFFF99" w:val="clear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i/>
          <w:i/>
          <w:iCs/>
          <w:sz w:val="24"/>
          <w:szCs w:val="24"/>
          <w:shd w:fill="FFFF99" w:val="clear"/>
        </w:rPr>
      </w:pPr>
      <w:r>
        <w:rPr>
          <w:bCs/>
          <w:i/>
          <w:iCs/>
          <w:sz w:val="24"/>
          <w:szCs w:val="24"/>
          <w:shd w:fill="FFFF99" w:val="clear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i/>
          <w:i/>
          <w:iCs/>
          <w:sz w:val="24"/>
          <w:szCs w:val="24"/>
          <w:shd w:fill="FFFF99" w:val="clear"/>
        </w:rPr>
      </w:pPr>
      <w:r>
        <w:rPr>
          <w:bCs/>
          <w:i/>
          <w:iCs/>
          <w:sz w:val="24"/>
          <w:szCs w:val="24"/>
          <w:shd w:fill="FFFF99" w:val="clear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993" w:right="566" w:gutter="0" w:header="0" w:top="709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Heading3"/>
    <w:next w:val="Normal"/>
    <w:link w:val="1"/>
    <w:uiPriority w:val="9"/>
    <w:qFormat/>
    <w:rsid w:val="00e275fe"/>
    <w:pPr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3"/>
    <w:autoRedefine/>
    <w:uiPriority w:val="9"/>
    <w:qFormat/>
    <w:rsid w:val="00e275fe"/>
    <w:pPr>
      <w:keepNext w:val="true"/>
      <w:numPr>
        <w:ilvl w:val="2"/>
        <w:numId w:val="2"/>
      </w:numPr>
      <w:spacing w:lineRule="auto" w:line="240" w:before="120" w:after="60"/>
      <w:ind w:left="0" w:hanging="0"/>
      <w:outlineLvl w:val="2"/>
    </w:pPr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uiPriority w:val="9"/>
    <w:qFormat/>
    <w:rsid w:val="00e275fe"/>
    <w:p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комментарий"/>
    <w:qFormat/>
    <w:rsid w:val="00e275fe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e275fe"/>
    <w:rPr>
      <w:rFonts w:ascii="Arial" w:hAnsi="Arial" w:eastAsia="Times New Roman" w:cs="Arial"/>
      <w:sz w:val="20"/>
      <w:szCs w:val="20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e275fe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uiPriority w:val="9"/>
    <w:qFormat/>
    <w:rsid w:val="00e275fe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uiPriority w:val="9"/>
    <w:qFormat/>
    <w:rsid w:val="00e275fe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e275fe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 w:customStyle="1">
    <w:name w:val="Абзац списка Знак"/>
    <w:link w:val="ListParagraph"/>
    <w:uiPriority w:val="34"/>
    <w:qFormat/>
    <w:locked/>
    <w:rsid w:val="00e275fe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/>
  </w:style>
  <w:style w:type="paragraph" w:styleId="ConsPlusNormal1" w:customStyle="1">
    <w:name w:val="ConsPlusNormal"/>
    <w:link w:val="ConsPlusNormal"/>
    <w:qFormat/>
    <w:rsid w:val="00e275fe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"/>
    <w:qFormat/>
    <w:rsid w:val="00e275fe"/>
    <w:pPr>
      <w:spacing w:lineRule="auto" w:line="480" w:before="0" w:after="120"/>
      <w:ind w:left="283" w:hanging="0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link w:val="Style7"/>
    <w:uiPriority w:val="34"/>
    <w:qFormat/>
    <w:rsid w:val="00e275fe"/>
    <w:pPr>
      <w:spacing w:lineRule="auto" w:line="240" w:before="0" w:after="0"/>
      <w:ind w:left="720" w:hanging="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Style10" w:customStyle="1">
    <w:name w:val="Таблица"/>
    <w:basedOn w:val="Normal"/>
    <w:qFormat/>
    <w:rsid w:val="00e275fe"/>
    <w:pPr>
      <w:keepNext w:val="true"/>
      <w:spacing w:lineRule="auto" w:line="240" w:before="60" w:after="60"/>
      <w:jc w:val="center"/>
    </w:pPr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AlterOffice/3.3.0.4$Linux_X86_64 LibreOffice_project/fa736b558560ebea8f92088bfd7720f4b3918f3f</Application>
  <AppVersion>15.0000</AppVersion>
  <Pages>8</Pages>
  <Words>1539</Words>
  <Characters>10660</Characters>
  <CharactersWithSpaces>12544</CharactersWithSpaces>
  <Paragraphs>163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2023-03-24T00:49:00Z</dcterms:created>
  <dc:creator>Николаев Роман Алексеевич</dc:creator>
  <dc:description/>
  <dc:language>ru-RU</dc:language>
  <cp:lastModifiedBy>kharitonovaana</cp:lastModifiedBy>
  <dcterms:modified xsi:type="dcterms:W3CDTF">2025-01-16T08:56:41Z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